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Arial" w:cs="Arial" w:eastAsia="Arial" w:hAnsi="Arial"/>
          <w:b/>
          <w:bCs/>
          <w:color w:val="1B4F72"/>
          <w:sz w:val="48"/>
          <w:szCs w:val="48"/>
        </w:rPr>
        <w:t xml:space="preserve">NORDVIK CONSULTING AS</w:t>
      </w:r>
    </w:p>
    <w:p>
      <w:pPr>
        <w:spacing w:after="600"/>
        <w:jc w:val="center"/>
      </w:pPr>
      <w:r>
        <w:rPr>
          <w:rFonts w:ascii="Arial" w:cs="Arial" w:eastAsia="Arial" w:hAnsi="Arial"/>
          <w:color w:val="2E75B6"/>
          <w:sz w:val="36"/>
          <w:szCs w:val="36"/>
        </w:rPr>
        <w:t xml:space="preserve">Strategidokument 2026–2028</w:t>
      </w:r>
    </w:p>
    <w:p>
      <w:pPr>
        <w:spacing w:after="100"/>
        <w:jc w:val="center"/>
      </w:pPr>
      <w:r>
        <w:rPr>
          <w:rFonts w:ascii="Arial" w:cs="Arial" w:eastAsia="Arial" w:hAnsi="Arial"/>
          <w:i/>
          <w:iCs/>
          <w:color w:val="666666"/>
          <w:sz w:val="28"/>
          <w:szCs w:val="28"/>
        </w:rPr>
        <w:t xml:space="preserve">Veien mot 100 millioner</w:t>
      </w:r>
    </w:p>
    <w:p>
      <w:pPr>
        <w:spacing w:before="2000"/>
      </w:pPr>
    </w:p>
    <w:p>
      <w:pPr>
        <w:jc w:val="center"/>
      </w:pPr>
      <w:r>
        <w:rPr>
          <w:rFonts w:ascii="Arial" w:cs="Arial" w:eastAsia="Arial" w:hAnsi="Arial"/>
          <w:color w:val="999999"/>
          <w:sz w:val="20"/>
          <w:szCs w:val="20"/>
        </w:rPr>
        <w:t xml:space="preserve">Vedtatt av styret 15. januar 2026</w:t>
      </w:r>
    </w:p>
    <w:p>
      <w:pPr>
        <w:jc w:val="center"/>
      </w:pPr>
      <w:r>
        <w:rPr>
          <w:rFonts w:ascii="Arial" w:cs="Arial" w:eastAsia="Arial" w:hAnsi="Arial"/>
          <w:color w:val="999999"/>
          <w:sz w:val="20"/>
          <w:szCs w:val="20"/>
        </w:rPr>
        <w:t xml:space="preserve">Versjon 2.1 | Sist oppdatert 1. mars 2026</w:t>
      </w:r>
    </w:p>
    <w:p>
      <w:r>
        <w:br w:type="page"/>
      </w:r>
    </w:p>
    <w:p>
      <w:pPr>
        <w:pStyle w:val="Heading1"/>
      </w:pPr>
      <w:r>
        <w:t xml:space="preserve">1. Sammendrag</w:t>
      </w:r>
    </w:p>
    <w:p>
      <w:pPr>
        <w:spacing w:after="200"/>
      </w:pPr>
      <w:r>
        <w:t xml:space="preserve">Nordvik Consulting AS avsluttet 2025 med en omsetning på 52 millioner kroner og et resultat på 6,2 millioner. Vi har vokst fra 12 til 18 ansatte på to år, og har nå kontorer i fem norske byer. Selskapet er godt posisjonert for videre vekst, men vi står også overfor utfordringer som krever strategisk fokus.</w:t>
      </w:r>
    </w:p>
    <w:p>
      <w:pPr>
        <w:spacing w:after="200"/>
      </w:pPr>
      <w:r>
        <w:t xml:space="preserve">Denne strategien trekker opp tre hovedmål for perioden 2026–2028: vekst til 100 millioner i omsetning, styrking av kundetilfredsheten til over 4.0, og etablering som ledende aktør innen AI-støttet konsulentvirksomhet i Sør-Norge.</w:t>
      </w:r>
    </w:p>
    <w:p>
      <w:r>
        <w:br w:type="page"/>
      </w:r>
    </w:p>
    <w:p>
      <w:pPr>
        <w:pStyle w:val="Heading1"/>
      </w:pPr>
      <w:r>
        <w:t xml:space="preserve">2. Visjon og verdier</w:t>
      </w:r>
    </w:p>
    <w:p>
      <w:pPr>
        <w:pStyle w:val="Heading2"/>
      </w:pPr>
      <w:r>
        <w:t xml:space="preserve">2.1 Visjon</w:t>
      </w:r>
    </w:p>
    <w:p>
      <w:pPr>
        <w:spacing w:after="200"/>
      </w:pPr>
      <w:r>
        <w:rPr>
          <w:i/>
          <w:iCs/>
          <w:sz w:val="24"/>
          <w:szCs w:val="24"/>
        </w:rPr>
        <w:t xml:space="preserve">Vi gjør norske virksomheter bedre med teknologi og mennesker.</w:t>
      </w:r>
    </w:p>
    <w:p>
      <w:pPr>
        <w:pStyle w:val="Heading2"/>
      </w:pPr>
      <w:r>
        <w:t xml:space="preserve">2.2 Verdier</w:t>
      </w:r>
    </w:p>
    <w:p>
      <w:pPr>
        <w:pStyle w:val="ListParagraph"/>
        <w:numPr>
          <w:ilvl w:val="0"/>
          <w:numId w:val="2"/>
        </w:numPr>
      </w:pPr>
      <w:r>
        <w:rPr>
          <w:b/>
          <w:bCs/>
        </w:rPr>
        <w:t xml:space="preserve">Nærhet: </w:t>
      </w:r>
      <w:r>
        <w:t xml:space="preserve">Vi er tett på kundene våre og forstår deres hverdag.</w:t>
      </w:r>
    </w:p>
    <w:p>
      <w:pPr>
        <w:pStyle w:val="ListParagraph"/>
        <w:numPr>
          <w:ilvl w:val="0"/>
          <w:numId w:val="2"/>
        </w:numPr>
      </w:pPr>
      <w:r>
        <w:rPr>
          <w:b/>
          <w:bCs/>
        </w:rPr>
        <w:t xml:space="preserve">Kompetanse: </w:t>
      </w:r>
      <w:r>
        <w:t xml:space="preserve">Vi investerer i faglig utvikling og ligger i front.</w:t>
      </w:r>
    </w:p>
    <w:p>
      <w:pPr>
        <w:pStyle w:val="ListParagraph"/>
        <w:numPr>
          <w:ilvl w:val="0"/>
          <w:numId w:val="2"/>
        </w:numPr>
      </w:pPr>
      <w:r>
        <w:rPr>
          <w:b/>
          <w:bCs/>
        </w:rPr>
        <w:t xml:space="preserve">Åpenhet: </w:t>
      </w:r>
      <w:r>
        <w:t xml:space="preserve">Vi deler kunnskap og er transparente i alt vi gjør.</w:t>
      </w:r>
    </w:p>
    <w:p>
      <w:pPr>
        <w:pStyle w:val="ListParagraph"/>
        <w:numPr>
          <w:ilvl w:val="0"/>
          <w:numId w:val="2"/>
        </w:numPr>
        <w:spacing w:after="200"/>
      </w:pPr>
      <w:r>
        <w:rPr>
          <w:b/>
          <w:bCs/>
        </w:rPr>
        <w:t xml:space="preserve">Bærekraft: </w:t>
      </w:r>
      <w:r>
        <w:t xml:space="preserve">Vi tar ansvar for vår påvirkning på samfunn og miljø.</w:t>
      </w:r>
    </w:p>
    <w:p>
      <w:pPr>
        <w:pStyle w:val="Heading1"/>
      </w:pPr>
      <w:r>
        <w:t xml:space="preserve">3. Situasjonsanalyse</w:t>
      </w:r>
    </w:p>
    <w:p>
      <w:pPr>
        <w:pStyle w:val="Heading2"/>
      </w:pPr>
      <w:r>
        <w:t xml:space="preserve">3.1 Markedssituasjon</w:t>
      </w:r>
    </w:p>
    <w:p>
      <w:pPr>
        <w:spacing w:after="200"/>
      </w:pPr>
      <w:r>
        <w:t xml:space="preserve">Det norske konsulentmarkedet er i endring. Kunstig intelligens endrer fundamentalt hvordan konsulenttjenester leveres. Kunder forventer raskere leveranser, mer datadrevet innsikt, og lavere kostnader. Samtidig skaper nye AI-verktøy muligheter for små og mellomstore aktører til å konkurrere med de store konsulentselskapene.</w:t>
      </w:r>
    </w:p>
    <w:p>
      <w:pPr>
        <w:spacing w:after="200"/>
      </w:pPr>
      <w:r>
        <w:t xml:space="preserve">Våre analyser viser at 67 % av norske virksomheter planlegger å øke sine investeringer i AI-relatert rådgivning i 2026. Markedet for AI-konsultering i Sør-Norge estimeres til 400 millioner kroner, med en årlig vekstrate på 25 %.</w:t>
      </w:r>
    </w:p>
    <w:p>
      <w:pPr>
        <w:pStyle w:val="Heading2"/>
      </w:pPr>
      <w:r>
        <w:t xml:space="preserve">3.2 Konkurranseposisjon</w:t>
      </w:r>
    </w:p>
    <w:p>
      <w:pPr>
        <w:spacing w:after="200"/>
      </w:pPr>
      <w:r>
        <w:t xml:space="preserve">Nordvik har en sterk posisjon i Sørlandet og Vestland, med voksende tilstedeværelse i Nord-Norge. Våre viktigste konkurransefortrinn er nærheten til kundene, bred bransjeforståelse, og tidlig adopsjon av AI-verktøy. Utfordringene inkluderer begrenset merkevarebekjenthet utenfor våre kjerneregioner og behov for flere seniorressurser.</w:t>
      </w:r>
    </w:p>
    <w:p>
      <w:pPr>
        <w:pStyle w:val="Heading2"/>
      </w:pPr>
      <w:r>
        <w:t xml:space="preserve">3.3 SWOT-analyse</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513"/>
        <w:gridCol w:w="4513"/>
      </w:tblGrid>
      <w:tr>
        <w:tc>
          <w:tcPr>
            <w:tcW w:type="dxa" w:w="4513"/>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Styrker</w:t>
            </w:r>
          </w:p>
        </w:tc>
        <w:tc>
          <w:tcPr>
            <w:tcW w:type="dxa" w:w="4513"/>
            <w:tcBorders>
              <w:top w:val="single" w:color="CCCCCC" w:sz="1"/>
              <w:left w:val="single" w:color="CCCCCC" w:sz="1"/>
              <w:bottom w:val="single" w:color="CCCCCC" w:sz="1"/>
              <w:right w:val="single" w:color="CCCCCC" w:sz="1"/>
            </w:tcBorders>
            <w:shd w:fill="C0392B" w:val="clear"/>
            <w:tcMar>
              <w:top w:type="dxa" w:w="80"/>
              <w:left w:type="dxa" w:w="120"/>
              <w:bottom w:type="dxa" w:w="80"/>
              <w:right w:type="dxa" w:w="120"/>
            </w:tcMar>
          </w:tcPr>
          <w:p>
            <w:r>
              <w:rPr>
                <w:rFonts w:ascii="Arial" w:cs="Arial" w:eastAsia="Arial" w:hAnsi="Arial"/>
                <w:b/>
                <w:bCs/>
                <w:color w:val="FFFFFF"/>
                <w:sz w:val="20"/>
                <w:szCs w:val="20"/>
              </w:rPr>
              <w:t xml:space="preserve">Svakheter</w:t>
            </w:r>
          </w:p>
        </w:tc>
      </w:tr>
      <w:tr>
        <w:tc>
          <w:tcPr>
            <w:tcW w:type="dxa" w:w="45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0"/>
                <w:szCs w:val="20"/>
              </w:rPr>
              <w:t xml:space="preserve">Sterk regional posisjon
Tidlig AI-adopsjon
Bred bransjedekning
Lojale kunder</w:t>
            </w:r>
          </w:p>
        </w:tc>
        <w:tc>
          <w:tcPr>
            <w:tcW w:type="dxa" w:w="45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0"/>
                <w:szCs w:val="20"/>
              </w:rPr>
              <w:t xml:space="preserve">Begrenset merkevarebekjenthet nasjonalt
Få seniorressurser
Avhengighet av nøkkelpersoner
Lavere kundetilfredshet enn mål</w:t>
            </w:r>
          </w:p>
        </w:tc>
      </w:tr>
      <w:tr>
        <w:tc>
          <w:tcPr>
            <w:tcW w:type="dxa" w:w="4513"/>
            <w:tcBorders>
              <w:top w:val="single" w:color="CCCCCC" w:sz="1"/>
              <w:left w:val="single" w:color="CCCCCC" w:sz="1"/>
              <w:bottom w:val="single" w:color="CCCCCC" w:sz="1"/>
              <w:right w:val="single" w:color="CCCCCC" w:sz="1"/>
            </w:tcBorders>
            <w:shd w:fill="27AE60" w:val="clear"/>
            <w:tcMar>
              <w:top w:type="dxa" w:w="80"/>
              <w:left w:type="dxa" w:w="120"/>
              <w:bottom w:type="dxa" w:w="80"/>
              <w:right w:type="dxa" w:w="120"/>
            </w:tcMar>
          </w:tcPr>
          <w:p>
            <w:r>
              <w:rPr>
                <w:rFonts w:ascii="Arial" w:cs="Arial" w:eastAsia="Arial" w:hAnsi="Arial"/>
                <w:b/>
                <w:bCs/>
                <w:color w:val="FFFFFF"/>
                <w:sz w:val="20"/>
                <w:szCs w:val="20"/>
              </w:rPr>
              <w:t xml:space="preserve">Muligheter</w:t>
            </w:r>
          </w:p>
        </w:tc>
        <w:tc>
          <w:tcPr>
            <w:tcW w:type="dxa" w:w="4513"/>
            <w:tcBorders>
              <w:top w:val="single" w:color="CCCCCC" w:sz="1"/>
              <w:left w:val="single" w:color="CCCCCC" w:sz="1"/>
              <w:bottom w:val="single" w:color="CCCCCC" w:sz="1"/>
              <w:right w:val="single" w:color="CCCCCC" w:sz="1"/>
            </w:tcBorders>
            <w:shd w:fill="E67E22" w:val="clear"/>
            <w:tcMar>
              <w:top w:type="dxa" w:w="80"/>
              <w:left w:type="dxa" w:w="120"/>
              <w:bottom w:type="dxa" w:w="80"/>
              <w:right w:type="dxa" w:w="120"/>
            </w:tcMar>
          </w:tcPr>
          <w:p>
            <w:r>
              <w:rPr>
                <w:rFonts w:ascii="Arial" w:cs="Arial" w:eastAsia="Arial" w:hAnsi="Arial"/>
                <w:b/>
                <w:bCs/>
                <w:color w:val="FFFFFF"/>
                <w:sz w:val="20"/>
                <w:szCs w:val="20"/>
              </w:rPr>
              <w:t xml:space="preserve">Trusler</w:t>
            </w:r>
          </w:p>
        </w:tc>
      </w:tr>
      <w:tr>
        <w:tc>
          <w:tcPr>
            <w:tcW w:type="dxa" w:w="45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0"/>
                <w:szCs w:val="20"/>
              </w:rPr>
              <w:t xml:space="preserve">Voksende AI-marked
Digitalisering i offentlig sektor
Partnerskap med teknologileverandører
Kompetansemangel gir økt etterspørsel</w:t>
            </w:r>
          </w:p>
        </w:tc>
        <w:tc>
          <w:tcPr>
            <w:tcW w:type="dxa" w:w="45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0"/>
                <w:szCs w:val="20"/>
              </w:rPr>
              <w:t xml:space="preserve">Store konsulentselskaper med AI-satsing
Rask teknologisk endring
Prispress fra automasjon
Talentkonkurranse</w:t>
            </w:r>
          </w:p>
        </w:tc>
      </w:tr>
    </w:tbl>
    <w:p>
      <w:r>
        <w:br w:type="page"/>
      </w:r>
    </w:p>
    <w:p>
      <w:pPr>
        <w:pStyle w:val="Heading1"/>
      </w:pPr>
      <w:r>
        <w:t xml:space="preserve">4. Strategiske mål 2026–2028</w:t>
      </w:r>
    </w:p>
    <w:p>
      <w:pPr>
        <w:pStyle w:val="Heading2"/>
      </w:pPr>
      <w:r>
        <w:t xml:space="preserve">4.1 Mål 1: Vekst til 100 millioner i omsetning</w:t>
      </w:r>
    </w:p>
    <w:p>
      <w:pPr>
        <w:spacing w:after="100"/>
      </w:pPr>
      <w:r>
        <w:t xml:space="preserve">Vi skal nærme oss doble omsetningen i løpet av tre år. Veksten skal komme fra:</w:t>
      </w:r>
    </w:p>
    <w:p>
      <w:pPr>
        <w:pStyle w:val="ListParagraph"/>
        <w:numPr>
          <w:ilvl w:val="0"/>
          <w:numId w:val="2"/>
        </w:numPr>
      </w:pPr>
      <w:r>
        <w:t xml:space="preserve">Utvidelse av tjenestetilbudet innen AI-rådgivning og implementering</w:t>
      </w:r>
    </w:p>
    <w:p>
      <w:pPr>
        <w:pStyle w:val="ListParagraph"/>
        <w:numPr>
          <w:ilvl w:val="0"/>
          <w:numId w:val="2"/>
        </w:numPr>
      </w:pPr>
      <w:r>
        <w:t xml:space="preserve">Økt markedsandel i eksisterende regioner gjennom styrket salgsapparat</w:t>
      </w:r>
    </w:p>
    <w:p>
      <w:pPr>
        <w:pStyle w:val="ListParagraph"/>
        <w:numPr>
          <w:ilvl w:val="0"/>
          <w:numId w:val="2"/>
        </w:numPr>
      </w:pPr>
      <w:r>
        <w:t xml:space="preserve">Etablering i Oslo-markedet med eget salgsteam innen 2027</w:t>
      </w:r>
    </w:p>
    <w:p>
      <w:pPr>
        <w:pStyle w:val="ListParagraph"/>
        <w:numPr>
          <w:ilvl w:val="0"/>
          <w:numId w:val="2"/>
        </w:numPr>
        <w:spacing w:after="200"/>
      </w:pPr>
      <w:r>
        <w:t xml:space="preserve">Strategiske partnerskap med teknologileverandører for å nå nye kundegrupper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8"/>
        <w:gridCol w:w="1505"/>
        <w:gridCol w:w="1505"/>
        <w:gridCol w:w="1505"/>
        <w:gridCol w:w="1503"/>
      </w:tblGrid>
      <w:tr>
        <w:tc>
          <w:tcPr>
            <w:tcW w:type="dxa" w:w="3008"/>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pPr>
              <w:jc w:val="center"/>
            </w:pPr>
            <w:r>
              <w:rPr>
                <w:rFonts w:ascii="Arial" w:cs="Arial" w:eastAsia="Arial" w:hAnsi="Arial"/>
                <w:b/>
                <w:bCs/>
                <w:color w:val="FFFFFF"/>
                <w:sz w:val="20"/>
                <w:szCs w:val="20"/>
              </w:rPr>
              <w:t xml:space="preserve"/>
            </w:r>
          </w:p>
        </w:tc>
        <w:tc>
          <w:tcPr>
            <w:tcW w:type="dxa" w:w="1505"/>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pPr>
              <w:jc w:val="center"/>
            </w:pPr>
            <w:r>
              <w:rPr>
                <w:rFonts w:ascii="Arial" w:cs="Arial" w:eastAsia="Arial" w:hAnsi="Arial"/>
                <w:b/>
                <w:bCs/>
                <w:color w:val="FFFFFF"/>
                <w:sz w:val="20"/>
                <w:szCs w:val="20"/>
              </w:rPr>
              <w:t xml:space="preserve">2025 (faktisk)</w:t>
            </w:r>
          </w:p>
        </w:tc>
        <w:tc>
          <w:tcPr>
            <w:tcW w:type="dxa" w:w="1505"/>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pPr>
              <w:jc w:val="center"/>
            </w:pPr>
            <w:r>
              <w:rPr>
                <w:rFonts w:ascii="Arial" w:cs="Arial" w:eastAsia="Arial" w:hAnsi="Arial"/>
                <w:b/>
                <w:bCs/>
                <w:color w:val="FFFFFF"/>
                <w:sz w:val="20"/>
                <w:szCs w:val="20"/>
              </w:rPr>
              <w:t xml:space="preserve">2026</w:t>
            </w:r>
          </w:p>
        </w:tc>
        <w:tc>
          <w:tcPr>
            <w:tcW w:type="dxa" w:w="1505"/>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pPr>
              <w:jc w:val="center"/>
            </w:pPr>
            <w:r>
              <w:rPr>
                <w:rFonts w:ascii="Arial" w:cs="Arial" w:eastAsia="Arial" w:hAnsi="Arial"/>
                <w:b/>
                <w:bCs/>
                <w:color w:val="FFFFFF"/>
                <w:sz w:val="20"/>
                <w:szCs w:val="20"/>
              </w:rPr>
              <w:t xml:space="preserve">2027</w:t>
            </w:r>
          </w:p>
        </w:tc>
        <w:tc>
          <w:tcPr>
            <w:tcW w:type="dxa" w:w="1503"/>
            <w:tcBorders>
              <w:top w:val="single" w:color="CCCCCC" w:sz="1"/>
              <w:left w:val="single" w:color="CCCCCC" w:sz="1"/>
              <w:bottom w:val="single" w:color="CCCCCC" w:sz="1"/>
              <w:right w:val="single" w:color="CCCCCC" w:sz="1"/>
            </w:tcBorders>
            <w:shd w:fill="2E75B6" w:val="clear"/>
            <w:tcMar>
              <w:top w:type="dxa" w:w="60"/>
              <w:left w:type="dxa" w:w="100"/>
              <w:bottom w:type="dxa" w:w="60"/>
              <w:right w:type="dxa" w:w="100"/>
            </w:tcMar>
          </w:tcPr>
          <w:p>
            <w:pPr>
              <w:jc w:val="center"/>
            </w:pPr>
            <w:r>
              <w:rPr>
                <w:rFonts w:ascii="Arial" w:cs="Arial" w:eastAsia="Arial" w:hAnsi="Arial"/>
                <w:b/>
                <w:bCs/>
                <w:color w:val="FFFFFF"/>
                <w:sz w:val="20"/>
                <w:szCs w:val="20"/>
              </w:rPr>
              <w:t xml:space="preserve">2028</w:t>
            </w:r>
          </w:p>
        </w:tc>
      </w:tr>
      <w:tr>
        <w:tc>
          <w:tcPr>
            <w:tcW w:type="dxa" w:w="3008"/>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Omsetning (MNOK)</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52</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61</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78</w:t>
            </w:r>
          </w:p>
        </w:tc>
        <w:tc>
          <w:tcPr>
            <w:tcW w:type="dxa" w:w="1503"/>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100</w:t>
            </w:r>
          </w:p>
        </w:tc>
      </w:tr>
      <w:tr>
        <w:tc>
          <w:tcPr>
            <w:tcW w:type="dxa" w:w="3008"/>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Antall ansatte</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18</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24</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32</w:t>
            </w:r>
          </w:p>
        </w:tc>
        <w:tc>
          <w:tcPr>
            <w:tcW w:type="dxa" w:w="1503"/>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40</w:t>
            </w:r>
          </w:p>
        </w:tc>
      </w:tr>
      <w:tr>
        <w:tc>
          <w:tcPr>
            <w:tcW w:type="dxa" w:w="3008"/>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Resultatmargin</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11,9 %</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12,5 %</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13,0 %</w:t>
            </w:r>
          </w:p>
        </w:tc>
        <w:tc>
          <w:tcPr>
            <w:tcW w:type="dxa" w:w="1503"/>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14,0 %</w:t>
            </w:r>
          </w:p>
        </w:tc>
      </w:tr>
      <w:tr>
        <w:tc>
          <w:tcPr>
            <w:tcW w:type="dxa" w:w="3008"/>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Kundetilfredshet</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3,1</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3,8</w:t>
            </w:r>
          </w:p>
        </w:tc>
        <w:tc>
          <w:tcPr>
            <w:tcW w:type="dxa" w:w="1505"/>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4,2</w:t>
            </w:r>
          </w:p>
        </w:tc>
        <w:tc>
          <w:tcPr>
            <w:tcW w:type="dxa" w:w="1503"/>
            <w:tcBorders>
              <w:top w:val="single" w:color="CCCCCC" w:sz="1"/>
              <w:left w:val="single" w:color="CCCCCC" w:sz="1"/>
              <w:bottom w:val="single" w:color="CCCCCC" w:sz="1"/>
              <w:right w:val="single" w:color="CCCCCC" w:sz="1"/>
            </w:tcBorders>
            <w:tcMar>
              <w:top w:type="dxa" w:w="60"/>
              <w:left w:type="dxa" w:w="100"/>
              <w:bottom w:type="dxa" w:w="60"/>
              <w:right w:type="dxa" w:w="100"/>
            </w:tcMar>
          </w:tcPr>
          <w:p>
            <w:pPr>
              <w:jc w:val="right"/>
            </w:pPr>
            <w:r>
              <w:rPr>
                <w:rFonts w:ascii="Arial" w:cs="Arial" w:eastAsia="Arial" w:hAnsi="Arial"/>
                <w:b w:val="false"/>
                <w:bCs w:val="false"/>
                <w:color w:val="333333"/>
                <w:sz w:val="20"/>
                <w:szCs w:val="20"/>
              </w:rPr>
              <w:t xml:space="preserve">4,5</w:t>
            </w:r>
          </w:p>
        </w:tc>
      </w:tr>
    </w:tbl>
    <w:p>
      <w:pPr>
        <w:pStyle w:val="Heading2"/>
        <w:spacing w:before="400"/>
      </w:pPr>
      <w:r>
        <w:t xml:space="preserve">4.2 Mål 2: Kundetilfredshet over 4.0</w:t>
      </w:r>
    </w:p>
    <w:p>
      <w:pPr>
        <w:spacing w:after="200"/>
      </w:pPr>
      <w:r>
        <w:t xml:space="preserve">Kundetilfredshet på 3.1 i Q1 2026 er under vårt mål. Vi skal løfte dette til 3.8 innen årets slutt gjennom: forbedret supportflyt med mål om responstid under 24 timer, dedikert kundekontakt for alle nøkkelkunder, kvartalsvis kundemøte med de 10 største kundene, og proaktiv oppfølging basert på dataanalyse av kundeinteraksjoner.</w:t>
      </w:r>
    </w:p>
    <w:p>
      <w:pPr>
        <w:pStyle w:val="Heading2"/>
      </w:pPr>
      <w:r>
        <w:t xml:space="preserve">4.3 Mål 3: Ledende på AI-støttet konsulentvirksomhet</w:t>
      </w:r>
    </w:p>
    <w:p>
      <w:pPr>
        <w:spacing w:after="200"/>
      </w:pPr>
      <w:r>
        <w:t xml:space="preserve">Vi skal være det første selskapet kunder tenker på når de trenger hjelp med AI i Sør-Norge. Dette krever at alle konsulenter har grunnleggende AI-kompetanse, at vi utvikler egne AI-verktøy og metodikker, at vi publiserer fagartikler og holder foredrag, og at vi bygger et økosystem av partnerskap med teknologileverandører.</w:t>
      </w:r>
    </w:p>
    <w:p>
      <w:r>
        <w:br w:type="page"/>
      </w:r>
    </w:p>
    <w:p>
      <w:pPr>
        <w:pStyle w:val="Heading1"/>
      </w:pPr>
      <w:r>
        <w:t xml:space="preserve">5. Handlingsplan 2026</w:t>
      </w:r>
    </w:p>
    <w:p>
      <w:pPr>
        <w:pStyle w:val="Heading2"/>
      </w:pPr>
      <w:r>
        <w:t xml:space="preserve">5.1 Q1–Q2: Fundament</w:t>
      </w:r>
    </w:p>
    <w:p>
      <w:pPr>
        <w:pStyle w:val="ListParagraph"/>
        <w:numPr>
          <w:ilvl w:val="0"/>
          <w:numId w:val="3"/>
        </w:numPr>
      </w:pPr>
      <w:r>
        <w:t xml:space="preserve">Fullføre kompetanseløft AI (P-004) for alle ansatte — frist: juni 2026</w:t>
      </w:r>
    </w:p>
    <w:p>
      <w:pPr>
        <w:pStyle w:val="ListParagraph"/>
        <w:numPr>
          <w:ilvl w:val="0"/>
          <w:numId w:val="3"/>
        </w:numPr>
      </w:pPr>
      <w:r>
        <w:t xml:space="preserve">Lansere digital kundeportal (P-001) — beta april, full lansering juni</w:t>
      </w:r>
    </w:p>
    <w:p>
      <w:pPr>
        <w:pStyle w:val="ListParagraph"/>
        <w:numPr>
          <w:ilvl w:val="0"/>
          <w:numId w:val="3"/>
        </w:numPr>
      </w:pPr>
      <w:r>
        <w:t xml:space="preserve">Implementere nytt CRM-system (P-003) — oppstart mai, pilot september</w:t>
      </w:r>
    </w:p>
    <w:p>
      <w:pPr>
        <w:pStyle w:val="ListParagraph"/>
        <w:numPr>
          <w:ilvl w:val="0"/>
          <w:numId w:val="3"/>
        </w:numPr>
      </w:pPr>
      <w:r>
        <w:t xml:space="preserve">Gjennomføre Q2-markedskampanje (P-007) — mål: 30 kvalifiserte leads</w:t>
      </w:r>
    </w:p>
    <w:p>
      <w:pPr>
        <w:pStyle w:val="ListParagraph"/>
        <w:numPr>
          <w:ilvl w:val="0"/>
          <w:numId w:val="3"/>
        </w:numPr>
        <w:spacing w:after="200"/>
      </w:pPr>
      <w:r>
        <w:t xml:space="preserve">Etablere forbedret supportflyt — responstid under 24 timer innen juni</w:t>
      </w:r>
    </w:p>
    <w:p>
      <w:pPr>
        <w:pStyle w:val="Heading2"/>
      </w:pPr>
      <w:r>
        <w:t xml:space="preserve">5.2 Q3–Q4: Skalering</w:t>
      </w:r>
    </w:p>
    <w:p>
      <w:pPr>
        <w:pStyle w:val="ListParagraph"/>
        <w:numPr>
          <w:ilvl w:val="0"/>
          <w:numId w:val="3"/>
        </w:numPr>
      </w:pPr>
      <w:r>
        <w:t xml:space="preserve">Rekruttere 6 nye medarbeidere (2 salg, 2 IT, 1 marked, 1 økonomi)</w:t>
      </w:r>
    </w:p>
    <w:p>
      <w:pPr>
        <w:pStyle w:val="ListParagraph"/>
        <w:numPr>
          <w:ilvl w:val="0"/>
          <w:numId w:val="3"/>
        </w:numPr>
      </w:pPr>
      <w:r>
        <w:t xml:space="preserve">Lansere AI-rådgivningstjeneste som eget tjenesteområde</w:t>
      </w:r>
    </w:p>
    <w:p>
      <w:pPr>
        <w:pStyle w:val="ListParagraph"/>
        <w:numPr>
          <w:ilvl w:val="0"/>
          <w:numId w:val="3"/>
        </w:numPr>
      </w:pPr>
      <w:r>
        <w:t xml:space="preserve">Pilotere Oslo-kontor med 2 salgskonsulenter</w:t>
      </w:r>
    </w:p>
    <w:p>
      <w:pPr>
        <w:pStyle w:val="ListParagraph"/>
        <w:numPr>
          <w:ilvl w:val="0"/>
          <w:numId w:val="3"/>
        </w:numPr>
      </w:pPr>
      <w:r>
        <w:t xml:space="preserve">Inngå partneravtale med minimum 2 teknologileverandører</w:t>
      </w:r>
    </w:p>
    <w:p>
      <w:pPr>
        <w:pStyle w:val="ListParagraph"/>
        <w:numPr>
          <w:ilvl w:val="0"/>
          <w:numId w:val="3"/>
        </w:numPr>
        <w:spacing w:after="200"/>
      </w:pPr>
      <w:r>
        <w:t xml:space="preserve">Gjennomføre bærekraftsrapportering (P-002) og integrere ESG i all rådgivning</w:t>
      </w:r>
    </w:p>
    <w:p>
      <w:pPr>
        <w:pStyle w:val="Heading1"/>
      </w:pPr>
      <w:r>
        <w:t xml:space="preserve">6. Investeringsbudsjett 2026</w:t>
      </w:r>
    </w:p>
    <w:p>
      <w:pPr>
        <w:spacing w:after="200"/>
      </w:pPr>
      <w:r>
        <w:t xml:space="preserve">Samlet investeringsramme for strategiske initiativer i 2026 er 13 millioner kroner, fordelt på avdelingene som følger. IT-avdelingen får den største andelen på 4,02 MNOK, etterfulgt av salgsavdelingen med 3,2 MNOK for CRM og partnerstrategi. De øvrige midlene fordeles på økonomi, HR, marked og drift.</w:t>
      </w:r>
    </w:p>
    <w:p>
      <w:pPr>
        <w:spacing w:after="200"/>
      </w:pPr>
      <w:r>
        <w:t xml:space="preserve">Budsjettet inkluderer en reservepost på 5 % for uforutsette kostnader, basert på erfaringen fra kontorflyttingen i Stavanger der overskridelsen var på 7,5 %.</w:t>
      </w:r>
    </w:p>
    <w:p>
      <w:pPr>
        <w:pStyle w:val="Heading1"/>
      </w:pPr>
      <w:r>
        <w:t xml:space="preserve">7. Risikostyring</w:t>
      </w:r>
    </w:p>
    <w:p>
      <w:pPr>
        <w:spacing w:after="200"/>
      </w:pPr>
      <w:r>
        <w:t xml:space="preserve">De viktigste risikoene for strategiperioden er knyttet til talentkonkurranse, teknologisk endring, og kundekonsentrasjon. Vi har identifisert følgende tiltak:</w:t>
      </w:r>
    </w:p>
    <w:p>
      <w:pPr>
        <w:pStyle w:val="ListParagraph"/>
        <w:numPr>
          <w:ilvl w:val="0"/>
          <w:numId w:val="2"/>
        </w:numPr>
      </w:pPr>
      <w:r>
        <w:rPr>
          <w:b/>
          <w:bCs/>
        </w:rPr>
        <w:t xml:space="preserve">Talentrisiko: </w:t>
      </w:r>
      <w:r>
        <w:t xml:space="preserve">Konkurransedyktig lønn, fleksibel arbeidshverdag, tydelig karrierevei og investering i faglig utvikling.</w:t>
      </w:r>
    </w:p>
    <w:p>
      <w:pPr>
        <w:pStyle w:val="ListParagraph"/>
        <w:numPr>
          <w:ilvl w:val="0"/>
          <w:numId w:val="2"/>
        </w:numPr>
      </w:pPr>
      <w:r>
        <w:rPr>
          <w:b/>
          <w:bCs/>
        </w:rPr>
        <w:t xml:space="preserve">Teknologirisiko: </w:t>
      </w:r>
      <w:r>
        <w:t xml:space="preserve">Kontinuerlig evaluering av AI-verktøy, partnerskap med leverandører, og intern FoU-tid (10 % av arbeidstid).</w:t>
      </w:r>
    </w:p>
    <w:p>
      <w:pPr>
        <w:pStyle w:val="ListParagraph"/>
        <w:numPr>
          <w:ilvl w:val="0"/>
          <w:numId w:val="2"/>
        </w:numPr>
      </w:pPr>
      <w:r>
        <w:rPr>
          <w:b/>
          <w:bCs/>
        </w:rPr>
        <w:t xml:space="preserve">Kundekonsentrasjonsrisiko: </w:t>
      </w:r>
      <w:r>
        <w:t xml:space="preserve">Ingen enkelt-kunde skal stå for mer enn 15 % av omsetningen. Aktiv diversifisering gjennom ny kundeakkvisisjon.</w:t>
      </w:r>
    </w:p>
    <w:p>
      <w:pPr>
        <w:pStyle w:val="ListParagraph"/>
        <w:numPr>
          <w:ilvl w:val="0"/>
          <w:numId w:val="2"/>
        </w:numPr>
        <w:spacing w:after="200"/>
      </w:pPr>
      <w:r>
        <w:rPr>
          <w:b/>
          <w:bCs/>
        </w:rPr>
        <w:t xml:space="preserve">Markedsrisiko: </w:t>
      </w:r>
      <w:r>
        <w:t xml:space="preserve">Scenarioplanlegging for lavkonjunktur. Fleksibel kostnadsstruktur med bruk av underleverandører.</w:t>
      </w:r>
    </w:p>
    <w:p>
      <w:pPr>
        <w:pStyle w:val="Heading1"/>
      </w:pPr>
      <w:r>
        <w:t xml:space="preserve">8. Oppfølging og rapportering</w:t>
      </w:r>
    </w:p>
    <w:p>
      <w:pPr>
        <w:spacing w:after="200"/>
      </w:pPr>
      <w:r>
        <w:t xml:space="preserve">Strategiens fremdrift måles kvartalsvis gjennom KPI-er som rapporteres til styret. Ledermøtet gjennomgår månedlig status på de viktigste initiativene. Fullstendig strategirevisjon gjennomføres i Q4 2026 for å justere kurs for 2027.</w:t>
      </w:r>
    </w:p>
    <w:p>
      <w:pPr>
        <w:spacing w:after="200"/>
      </w:pPr>
      <w:r>
        <w:t xml:space="preserve">KPI-ene inkluderer: omsetningsvekst per kvartal, kundetilfredshetsscore, antall nye kunder, medarbeidertilfredshet, prosjektleveranse innenfor budsjett, og andel AI-relaterte oppdrag av total omsetning.</w:t>
      </w:r>
    </w:p>
    <w:p>
      <w:pPr>
        <w:spacing w:before="600"/>
      </w:pPr>
    </w:p>
    <w:p>
      <w:pPr>
        <w:jc w:val="center"/>
      </w:pPr>
      <w:r>
        <w:rPr>
          <w:color w:val="999999"/>
          <w:sz w:val="20"/>
          <w:szCs w:val="20"/>
        </w:rPr>
        <w:t xml:space="preserve">* * *</w:t>
      </w:r>
    </w:p>
    <w:p>
      <w:pPr>
        <w:spacing w:before="200"/>
        <w:jc w:val="center"/>
      </w:pPr>
      <w:r>
        <w:rPr>
          <w:i/>
          <w:iCs/>
          <w:color w:val="999999"/>
          <w:sz w:val="18"/>
          <w:szCs w:val="18"/>
        </w:rPr>
        <w:t xml:space="preserve">Dokumentet er konfidensielt og tilhører Nordvik Consulting AS.</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6"/>
        <w:szCs w:val="16"/>
      </w:rPr>
      <w:t xml:space="preserve">Konfidensielt — Side </w:t>
    </w:r>
    <w:r>
      <w:rPr>
        <w:rFonts w:ascii="Arial" w:cs="Arial" w:eastAsia="Arial" w:hAnsi="Arial"/>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1" w:space="4"/>
      </w:pBdr>
      <w:jc w:val="right"/>
    </w:pPr>
    <w:r>
      <w:rPr>
        <w:rFonts w:ascii="Arial" w:cs="Arial" w:eastAsia="Arial" w:hAnsi="Arial"/>
        <w:color w:val="999999"/>
        <w:sz w:val="16"/>
        <w:szCs w:val="16"/>
      </w:rPr>
      <w:t xml:space="preserve">Nordvik Consulting AS — Strategidokument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B4F72"/>
      <w:sz w:val="36"/>
      <w:szCs w:val="36"/>
    </w:rPr>
  </w:style>
  <w:style w:type="paragraph" w:styleId="Heading2">
    <w:name w:val="Heading 2"/>
    <w:basedOn w:val="Normal"/>
    <w:next w:val="Normal"/>
    <w:qFormat/>
    <w:pPr>
      <w:spacing w:after="160" w:before="240"/>
      <w:outlineLvl w:val="1"/>
    </w:pPr>
    <w:rPr>
      <w:rFonts w:ascii="Arial" w:cs="Arial" w:eastAsia="Arial" w:hAnsi="Arial"/>
      <w:b/>
      <w:bCs/>
      <w:color w:val="2E75B6"/>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2E75B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2026-04-07T11:55:16.596Z</dcterms:created>
  <dcterms:modified xsi:type="dcterms:W3CDTF">2026-04-07T11:55:16.596Z</dcterms:modified>
</cp:coreProperties>
</file>

<file path=docProps/custom.xml><?xml version="1.0" encoding="utf-8"?>
<Properties xmlns="http://schemas.openxmlformats.org/officeDocument/2006/custom-properties" xmlns:vt="http://schemas.openxmlformats.org/officeDocument/2006/docPropsVTypes"/>
</file>